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4E" w:rsidRPr="0044614D" w:rsidRDefault="00732C4E" w:rsidP="00732C4E">
      <w:pPr>
        <w:ind w:left="-142" w:right="-617" w:hanging="720"/>
        <w:jc w:val="left"/>
        <w:rPr>
          <w:rFonts w:asciiTheme="majorHAnsi" w:hAnsiTheme="majorHAnsi"/>
          <w:sz w:val="32"/>
          <w:szCs w:val="32"/>
        </w:rPr>
      </w:pPr>
      <w:r w:rsidRPr="0044614D">
        <w:rPr>
          <w:rFonts w:asciiTheme="majorHAnsi" w:hAnsiTheme="majorHAnsi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3F26C" wp14:editId="3357E4EA">
                <wp:simplePos x="0" y="0"/>
                <wp:positionH relativeFrom="column">
                  <wp:posOffset>851535</wp:posOffset>
                </wp:positionH>
                <wp:positionV relativeFrom="paragraph">
                  <wp:posOffset>33020</wp:posOffset>
                </wp:positionV>
                <wp:extent cx="5143500" cy="998220"/>
                <wp:effectExtent l="0" t="0" r="38100" b="177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998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38C" w:rsidRDefault="00A9638C" w:rsidP="00732C4E">
                            <w:pPr>
                              <w:ind w:right="15"/>
                              <w:jc w:val="left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The Leading Change Checklist</w:t>
                            </w:r>
                          </w:p>
                          <w:p w:rsidR="00A9638C" w:rsidRPr="00732C4E" w:rsidRDefault="00A9638C" w:rsidP="00732C4E">
                            <w:pPr>
                              <w:ind w:right="15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get beyond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where we are now will take persistence, imagination and leadership. But what kind of leadership is appropriate for a partnership where there is commitment to equity, co-creation and collaboration? It seems that partnering not </w:t>
                            </w:r>
                            <w:r w:rsidR="00EE246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only </w:t>
                            </w:r>
                            <w:r w:rsidR="00A453B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requires us to explore a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new model of working but </w:t>
                            </w:r>
                            <w:r w:rsidR="00A453B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it is also requires us to explore and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to model new forms of leadership.</w:t>
                            </w:r>
                          </w:p>
                          <w:p w:rsidR="00A9638C" w:rsidRDefault="00A9638C" w:rsidP="00732C4E">
                            <w:pPr>
                              <w:ind w:right="1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7.05pt;margin-top:2.6pt;width:405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" filled="f" strokecolor="black [3213]">
                <v:textbox>
                  <w:txbxContent>
                    <w:p w:rsidR="00A9638C" w:rsidRDefault="00A9638C" w:rsidP="00732C4E">
                      <w:pPr>
                        <w:ind w:right="15"/>
                        <w:jc w:val="left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The Leading Change Checklist</w:t>
                      </w:r>
                    </w:p>
                    <w:p w:rsidR="00A9638C" w:rsidRPr="00732C4E" w:rsidRDefault="00A9638C" w:rsidP="00732C4E">
                      <w:pPr>
                        <w:ind w:right="15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get beyond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where we are now will take persistence, imagination and leadership. But what kind of leadership is appropriate for a partnership where there is commitment to equity, co-creation and collaboration? It seems that partnering not </w:t>
                      </w:r>
                      <w:r w:rsidR="00EE246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only </w:t>
                      </w:r>
                      <w:r w:rsidR="00A453B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requires us to explore a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new model of working but </w:t>
                      </w:r>
                      <w:r w:rsidR="00A453B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it is also requires us to explore and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to model new forms of leadership.</w:t>
                      </w:r>
                    </w:p>
                    <w:p w:rsidR="00A9638C" w:rsidRDefault="00A9638C" w:rsidP="00732C4E">
                      <w:pPr>
                        <w:ind w:right="1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4614D">
        <w:rPr>
          <w:rFonts w:asciiTheme="majorHAnsi" w:hAnsiTheme="majorHAnsi"/>
          <w:noProof/>
          <w:sz w:val="32"/>
          <w:szCs w:val="32"/>
          <w:lang w:val="en-US" w:eastAsia="en-US"/>
        </w:rPr>
        <w:drawing>
          <wp:inline distT="0" distB="0" distL="0" distR="0" wp14:anchorId="4DF5AA04" wp14:editId="64884074">
            <wp:extent cx="1262446" cy="980440"/>
            <wp:effectExtent l="50800" t="50800" r="134620" b="137160"/>
            <wp:docPr id="2" name="Picture 2" descr="Macintosh HD:Users:rostennyson:Desktop: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rostennyson:Desktop: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459" cy="9820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87671" w:rsidRPr="00A453BD" w:rsidRDefault="00887671" w:rsidP="00887671">
      <w:pPr>
        <w:ind w:left="-709" w:right="-574"/>
        <w:jc w:val="left"/>
        <w:rPr>
          <w:rFonts w:asciiTheme="majorHAnsi" w:hAnsiTheme="majorHAnsi"/>
          <w:u w:val="single"/>
        </w:rPr>
      </w:pPr>
      <w:r w:rsidRPr="00A453BD">
        <w:rPr>
          <w:rFonts w:asciiTheme="majorHAnsi" w:hAnsiTheme="majorHAnsi"/>
          <w:u w:val="single"/>
        </w:rPr>
        <w:t xml:space="preserve">What </w:t>
      </w:r>
      <w:r w:rsidR="00D16C82">
        <w:rPr>
          <w:rFonts w:asciiTheme="majorHAnsi" w:hAnsiTheme="majorHAnsi"/>
          <w:u w:val="single"/>
        </w:rPr>
        <w:t>do</w:t>
      </w:r>
      <w:r w:rsidRPr="00A453BD">
        <w:rPr>
          <w:rFonts w:asciiTheme="majorHAnsi" w:hAnsiTheme="majorHAnsi"/>
          <w:u w:val="single"/>
        </w:rPr>
        <w:t xml:space="preserve"> the experiences of those currently</w:t>
      </w:r>
      <w:r w:rsidR="00A453BD">
        <w:rPr>
          <w:rFonts w:asciiTheme="majorHAnsi" w:hAnsiTheme="majorHAnsi"/>
          <w:u w:val="single"/>
        </w:rPr>
        <w:t xml:space="preserve"> involved</w:t>
      </w:r>
      <w:r w:rsidRPr="00A453BD">
        <w:rPr>
          <w:rFonts w:asciiTheme="majorHAnsi" w:hAnsiTheme="majorHAnsi"/>
          <w:u w:val="single"/>
        </w:rPr>
        <w:t xml:space="preserve"> </w:t>
      </w:r>
      <w:r w:rsidR="00A453BD">
        <w:rPr>
          <w:rFonts w:asciiTheme="majorHAnsi" w:hAnsiTheme="majorHAnsi"/>
          <w:u w:val="single"/>
        </w:rPr>
        <w:t>in partnerships</w:t>
      </w:r>
      <w:r w:rsidR="00D16C82">
        <w:rPr>
          <w:rFonts w:asciiTheme="majorHAnsi" w:hAnsiTheme="majorHAnsi"/>
          <w:u w:val="single"/>
        </w:rPr>
        <w:t xml:space="preserve"> reveal about what leadership qualities will be needed to create the future we want</w:t>
      </w:r>
      <w:r w:rsidRPr="00A453BD">
        <w:rPr>
          <w:rFonts w:asciiTheme="majorHAnsi" w:hAnsiTheme="majorHAnsi"/>
          <w:u w:val="single"/>
        </w:rPr>
        <w:t>?</w:t>
      </w:r>
    </w:p>
    <w:p w:rsidR="00887671" w:rsidRDefault="00887671" w:rsidP="00887671">
      <w:pPr>
        <w:ind w:left="-709" w:right="-574"/>
        <w:jc w:val="left"/>
        <w:rPr>
          <w:rFonts w:asciiTheme="majorHAnsi" w:hAnsiTheme="majorHAnsi"/>
        </w:rPr>
      </w:pPr>
    </w:p>
    <w:tbl>
      <w:tblPr>
        <w:tblStyle w:val="TableGrid"/>
        <w:tblW w:w="103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346"/>
        <w:gridCol w:w="2126"/>
        <w:gridCol w:w="1843"/>
      </w:tblGrid>
      <w:tr w:rsidR="00A9638C" w:rsidTr="00A453BD">
        <w:tc>
          <w:tcPr>
            <w:tcW w:w="6346" w:type="dxa"/>
          </w:tcPr>
          <w:p w:rsidR="00887671" w:rsidRPr="00887671" w:rsidRDefault="00A453BD" w:rsidP="00A453BD">
            <w:pPr>
              <w:ind w:right="33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E</w:t>
            </w:r>
            <w:r w:rsidR="00887671" w:rsidRPr="00887671">
              <w:rPr>
                <w:rFonts w:asciiTheme="majorHAnsi" w:hAnsiTheme="majorHAnsi"/>
                <w:b/>
                <w:color w:val="FF0000"/>
              </w:rPr>
              <w:t>xperience</w:t>
            </w:r>
            <w:r>
              <w:rPr>
                <w:rFonts w:asciiTheme="majorHAnsi" w:hAnsiTheme="majorHAnsi"/>
                <w:b/>
                <w:color w:val="FF0000"/>
              </w:rPr>
              <w:t xml:space="preserve">s, insights and hopes reported by practitioners involved in the DEPP </w:t>
            </w:r>
            <w:r>
              <w:rPr>
                <w:rFonts w:asciiTheme="majorHAnsi" w:hAnsiTheme="majorHAnsi"/>
                <w:color w:val="FF0000"/>
              </w:rPr>
              <w:t>(recorded between 2016-17)</w:t>
            </w:r>
            <w:r w:rsidR="00887671" w:rsidRPr="00887671">
              <w:rPr>
                <w:rFonts w:asciiTheme="majorHAnsi" w:hAnsiTheme="majorHAnsi"/>
                <w:b/>
                <w:color w:val="FF0000"/>
              </w:rPr>
              <w:t>:</w:t>
            </w:r>
          </w:p>
        </w:tc>
        <w:tc>
          <w:tcPr>
            <w:tcW w:w="2126" w:type="dxa"/>
          </w:tcPr>
          <w:p w:rsidR="00887671" w:rsidRPr="00A453BD" w:rsidRDefault="00A453BD" w:rsidP="00A9638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New leadership qualities required</w:t>
            </w:r>
          </w:p>
        </w:tc>
        <w:tc>
          <w:tcPr>
            <w:tcW w:w="1843" w:type="dxa"/>
          </w:tcPr>
          <w:p w:rsidR="00887671" w:rsidRPr="00A453BD" w:rsidRDefault="00A453BD" w:rsidP="00D16C8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To what degree </w:t>
            </w:r>
            <w:r w:rsidR="00D16C82">
              <w:rPr>
                <w:rFonts w:asciiTheme="majorHAnsi" w:hAnsiTheme="majorHAnsi"/>
                <w:b/>
              </w:rPr>
              <w:t>is this</w:t>
            </w:r>
            <w:bookmarkStart w:id="0" w:name="_GoBack"/>
            <w:bookmarkEnd w:id="0"/>
            <w:r w:rsidR="00887671" w:rsidRPr="00A453BD">
              <w:rPr>
                <w:rFonts w:asciiTheme="majorHAnsi" w:hAnsiTheme="majorHAnsi"/>
                <w:b/>
              </w:rPr>
              <w:t xml:space="preserve"> present?</w:t>
            </w:r>
          </w:p>
        </w:tc>
      </w:tr>
      <w:tr w:rsidR="00A9638C" w:rsidTr="00A453BD">
        <w:tc>
          <w:tcPr>
            <w:tcW w:w="6346" w:type="dxa"/>
          </w:tcPr>
          <w:p w:rsidR="00887671" w:rsidRPr="00A9638C" w:rsidRDefault="00887671" w:rsidP="00887671">
            <w:pPr>
              <w:rPr>
                <w:rFonts w:ascii="Calibri" w:hAnsi="Calibri"/>
                <w:i/>
                <w:color w:val="FF0000"/>
                <w:sz w:val="16"/>
                <w:szCs w:val="16"/>
              </w:rPr>
            </w:pPr>
          </w:p>
          <w:p w:rsidR="00887671" w:rsidRPr="00525B7B" w:rsidRDefault="00887671" w:rsidP="00887671">
            <w:pPr>
              <w:rPr>
                <w:rFonts w:ascii="Calibri" w:hAnsi="Calibri"/>
                <w:i/>
                <w:color w:val="FF0000"/>
              </w:rPr>
            </w:pPr>
            <w:r w:rsidRPr="00525B7B">
              <w:rPr>
                <w:rFonts w:ascii="Calibri" w:hAnsi="Calibri"/>
                <w:i/>
                <w:color w:val="FF0000"/>
              </w:rPr>
              <w:t>“The conflicts that arose between the partners could have been avoided if we had focused on building the relationship and paid more attention to the challenges of working remotely”</w:t>
            </w:r>
          </w:p>
          <w:p w:rsidR="00887671" w:rsidRPr="00A9638C" w:rsidRDefault="00887671" w:rsidP="00887671">
            <w:pPr>
              <w:ind w:right="-574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887671" w:rsidRDefault="00887671" w:rsidP="00A9638C">
            <w:pPr>
              <w:ind w:right="-574"/>
              <w:rPr>
                <w:rFonts w:asciiTheme="majorHAnsi" w:hAnsiTheme="majorHAnsi"/>
              </w:rPr>
            </w:pPr>
          </w:p>
          <w:p w:rsidR="00A9638C" w:rsidRDefault="00A453BD" w:rsidP="00A9638C">
            <w:pPr>
              <w:ind w:right="-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Being observant     and attentive</w:t>
            </w:r>
          </w:p>
        </w:tc>
        <w:tc>
          <w:tcPr>
            <w:tcW w:w="1843" w:type="dxa"/>
          </w:tcPr>
          <w:p w:rsidR="00887671" w:rsidRDefault="00887671" w:rsidP="00A9638C">
            <w:pPr>
              <w:jc w:val="left"/>
              <w:rPr>
                <w:rFonts w:asciiTheme="majorHAnsi" w:hAnsiTheme="majorHAnsi"/>
              </w:rPr>
            </w:pPr>
          </w:p>
        </w:tc>
      </w:tr>
      <w:tr w:rsidR="00A9638C" w:rsidTr="00A453BD">
        <w:tc>
          <w:tcPr>
            <w:tcW w:w="6346" w:type="dxa"/>
          </w:tcPr>
          <w:p w:rsidR="00887671" w:rsidRPr="00A9638C" w:rsidRDefault="00887671" w:rsidP="00887671">
            <w:pPr>
              <w:ind w:right="-574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:rsidR="00887671" w:rsidRPr="00887671" w:rsidRDefault="00887671" w:rsidP="00887671">
            <w:pPr>
              <w:rPr>
                <w:rFonts w:ascii="Calibri" w:hAnsi="Calibri"/>
                <w:i/>
                <w:color w:val="FF0000"/>
              </w:rPr>
            </w:pPr>
            <w:r w:rsidRPr="00887671">
              <w:rPr>
                <w:rFonts w:ascii="Calibri" w:hAnsi="Calibri"/>
                <w:i/>
                <w:color w:val="FF0000"/>
              </w:rPr>
              <w:t>“Going beyond ‘the agenda’ is a big challenge in long distance communication – but it is essential and if we can get it right it will make all the difference”</w:t>
            </w:r>
          </w:p>
          <w:p w:rsidR="00887671" w:rsidRPr="00A9638C" w:rsidRDefault="00887671" w:rsidP="00887671">
            <w:pPr>
              <w:ind w:right="-574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887671" w:rsidRDefault="00887671" w:rsidP="00A9638C">
            <w:pPr>
              <w:ind w:right="-108"/>
              <w:rPr>
                <w:rFonts w:asciiTheme="majorHAnsi" w:hAnsiTheme="majorHAnsi"/>
              </w:rPr>
            </w:pPr>
          </w:p>
          <w:p w:rsidR="00A9638C" w:rsidRDefault="00A9638C" w:rsidP="00A9638C">
            <w:pPr>
              <w:ind w:right="-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Going beyond the obvious</w:t>
            </w:r>
          </w:p>
        </w:tc>
        <w:tc>
          <w:tcPr>
            <w:tcW w:w="1843" w:type="dxa"/>
          </w:tcPr>
          <w:p w:rsidR="00887671" w:rsidRDefault="00887671" w:rsidP="00887671">
            <w:pPr>
              <w:ind w:right="-574"/>
              <w:jc w:val="left"/>
              <w:rPr>
                <w:rFonts w:asciiTheme="majorHAnsi" w:hAnsiTheme="majorHAnsi"/>
              </w:rPr>
            </w:pPr>
          </w:p>
        </w:tc>
      </w:tr>
      <w:tr w:rsidR="00A9638C" w:rsidTr="00A453BD">
        <w:tc>
          <w:tcPr>
            <w:tcW w:w="6346" w:type="dxa"/>
          </w:tcPr>
          <w:p w:rsidR="00887671" w:rsidRPr="00A9638C" w:rsidRDefault="00887671" w:rsidP="00887671">
            <w:pPr>
              <w:ind w:right="-574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:rsidR="00887671" w:rsidRDefault="00887671" w:rsidP="00887671">
            <w:pPr>
              <w:rPr>
                <w:rFonts w:ascii="Calibri" w:hAnsi="Calibri"/>
                <w:i/>
                <w:color w:val="FF0000"/>
              </w:rPr>
            </w:pPr>
            <w:r w:rsidRPr="00887671">
              <w:rPr>
                <w:rFonts w:ascii="Calibri" w:hAnsi="Calibri"/>
                <w:i/>
                <w:color w:val="FF0000"/>
              </w:rPr>
              <w:t>“In remote partnering you have far less control – you have to shift control to the other person… and you have to assume and trust that the other person has the capacity”</w:t>
            </w:r>
          </w:p>
          <w:p w:rsidR="00887671" w:rsidRPr="00A9638C" w:rsidRDefault="00887671" w:rsidP="00887671">
            <w:pPr>
              <w:ind w:right="-574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887671" w:rsidRDefault="00887671" w:rsidP="00A9638C">
            <w:pPr>
              <w:ind w:right="-108"/>
              <w:rPr>
                <w:rFonts w:asciiTheme="majorHAnsi" w:hAnsiTheme="majorHAnsi"/>
              </w:rPr>
            </w:pPr>
          </w:p>
          <w:p w:rsidR="00A9638C" w:rsidRDefault="00A453BD" w:rsidP="00A9638C">
            <w:pPr>
              <w:ind w:right="-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Having f</w:t>
            </w:r>
            <w:r w:rsidR="00A9638C">
              <w:rPr>
                <w:rFonts w:asciiTheme="majorHAnsi" w:hAnsiTheme="majorHAnsi"/>
              </w:rPr>
              <w:t xml:space="preserve">aith in </w:t>
            </w:r>
            <w:r>
              <w:rPr>
                <w:rFonts w:asciiTheme="majorHAnsi" w:hAnsiTheme="majorHAnsi"/>
              </w:rPr>
              <w:t xml:space="preserve">   </w:t>
            </w:r>
            <w:r w:rsidR="00A9638C">
              <w:rPr>
                <w:rFonts w:asciiTheme="majorHAnsi" w:hAnsiTheme="majorHAnsi"/>
              </w:rPr>
              <w:t>others</w:t>
            </w:r>
          </w:p>
        </w:tc>
        <w:tc>
          <w:tcPr>
            <w:tcW w:w="1843" w:type="dxa"/>
          </w:tcPr>
          <w:p w:rsidR="00887671" w:rsidRDefault="00887671" w:rsidP="00887671">
            <w:pPr>
              <w:ind w:right="-574"/>
              <w:jc w:val="left"/>
              <w:rPr>
                <w:rFonts w:asciiTheme="majorHAnsi" w:hAnsiTheme="majorHAnsi"/>
              </w:rPr>
            </w:pPr>
          </w:p>
        </w:tc>
      </w:tr>
      <w:tr w:rsidR="00A453BD" w:rsidTr="00A453BD">
        <w:tc>
          <w:tcPr>
            <w:tcW w:w="6346" w:type="dxa"/>
          </w:tcPr>
          <w:p w:rsidR="00A453BD" w:rsidRPr="00A9638C" w:rsidRDefault="00A453BD" w:rsidP="00FF47F5">
            <w:pPr>
              <w:ind w:right="-574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:rsidR="00A453BD" w:rsidRPr="00887671" w:rsidRDefault="00A453BD" w:rsidP="00FF47F5">
            <w:pPr>
              <w:rPr>
                <w:rFonts w:ascii="Calibri" w:hAnsi="Calibri"/>
                <w:i/>
                <w:color w:val="FF0000"/>
              </w:rPr>
            </w:pPr>
            <w:r w:rsidRPr="00887671">
              <w:rPr>
                <w:rFonts w:ascii="Calibri" w:hAnsi="Calibri"/>
                <w:i/>
                <w:color w:val="FF0000"/>
              </w:rPr>
              <w:t xml:space="preserve">‘Greater clarity of roles and responsibilities, combined with a shared vision and open communication channels will make remote partnering ever more effective.’ </w:t>
            </w:r>
          </w:p>
          <w:p w:rsidR="00A453BD" w:rsidRPr="00A9638C" w:rsidRDefault="00A453BD" w:rsidP="00FF47F5">
            <w:pPr>
              <w:ind w:right="-574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A453BD" w:rsidRDefault="00A453BD" w:rsidP="00FF47F5">
            <w:pPr>
              <w:rPr>
                <w:rFonts w:asciiTheme="majorHAnsi" w:hAnsiTheme="majorHAnsi"/>
              </w:rPr>
            </w:pPr>
          </w:p>
          <w:p w:rsidR="00A453BD" w:rsidRDefault="00A453BD" w:rsidP="00FF47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Sharing responsibilities</w:t>
            </w:r>
          </w:p>
        </w:tc>
        <w:tc>
          <w:tcPr>
            <w:tcW w:w="1843" w:type="dxa"/>
          </w:tcPr>
          <w:p w:rsidR="00A453BD" w:rsidRDefault="00A453BD" w:rsidP="00FF47F5">
            <w:pPr>
              <w:ind w:right="-574"/>
              <w:jc w:val="left"/>
              <w:rPr>
                <w:rFonts w:asciiTheme="majorHAnsi" w:hAnsiTheme="majorHAnsi"/>
              </w:rPr>
            </w:pPr>
          </w:p>
        </w:tc>
      </w:tr>
      <w:tr w:rsidR="00A9638C" w:rsidTr="00A453BD">
        <w:tc>
          <w:tcPr>
            <w:tcW w:w="6346" w:type="dxa"/>
          </w:tcPr>
          <w:p w:rsidR="00887671" w:rsidRPr="00A9638C" w:rsidRDefault="00887671" w:rsidP="00887671">
            <w:pPr>
              <w:ind w:right="-574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:rsidR="00887671" w:rsidRPr="00887671" w:rsidRDefault="00887671" w:rsidP="00887671">
            <w:pPr>
              <w:rPr>
                <w:rFonts w:ascii="Calibri" w:hAnsi="Calibri"/>
                <w:i/>
                <w:color w:val="FF0000"/>
              </w:rPr>
            </w:pPr>
            <w:r w:rsidRPr="00887671">
              <w:rPr>
                <w:rFonts w:ascii="Calibri" w:hAnsi="Calibri"/>
                <w:i/>
                <w:color w:val="FF0000"/>
              </w:rPr>
              <w:t>“All our partnerships have to be locally driven. INGOs should be only catalysts – this is the first step in really shifting power and not just talking about it”</w:t>
            </w:r>
          </w:p>
          <w:p w:rsidR="00887671" w:rsidRPr="00A9638C" w:rsidRDefault="00887671" w:rsidP="00887671">
            <w:pPr>
              <w:ind w:right="-574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887671" w:rsidRDefault="00887671" w:rsidP="00A9638C">
            <w:pPr>
              <w:rPr>
                <w:rFonts w:asciiTheme="majorHAnsi" w:hAnsiTheme="majorHAnsi"/>
              </w:rPr>
            </w:pPr>
          </w:p>
          <w:p w:rsidR="00A9638C" w:rsidRDefault="00A9638C" w:rsidP="00A9638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Willingness </w:t>
            </w:r>
          </w:p>
          <w:p w:rsidR="00A9638C" w:rsidRDefault="00A9638C" w:rsidP="00A9638C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to</w:t>
            </w:r>
            <w:proofErr w:type="gramEnd"/>
            <w:r>
              <w:rPr>
                <w:rFonts w:asciiTheme="majorHAnsi" w:hAnsiTheme="majorHAnsi"/>
              </w:rPr>
              <w:t xml:space="preserve"> let go</w:t>
            </w:r>
          </w:p>
        </w:tc>
        <w:tc>
          <w:tcPr>
            <w:tcW w:w="1843" w:type="dxa"/>
          </w:tcPr>
          <w:p w:rsidR="00887671" w:rsidRDefault="00887671" w:rsidP="00887671">
            <w:pPr>
              <w:ind w:right="-574"/>
              <w:jc w:val="left"/>
              <w:rPr>
                <w:rFonts w:asciiTheme="majorHAnsi" w:hAnsiTheme="majorHAnsi"/>
              </w:rPr>
            </w:pPr>
          </w:p>
        </w:tc>
      </w:tr>
      <w:tr w:rsidR="00A9638C" w:rsidTr="00A453BD">
        <w:tc>
          <w:tcPr>
            <w:tcW w:w="6346" w:type="dxa"/>
          </w:tcPr>
          <w:p w:rsidR="00887671" w:rsidRPr="00A9638C" w:rsidRDefault="00887671" w:rsidP="00887671">
            <w:pPr>
              <w:ind w:right="-574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:rsidR="00A9638C" w:rsidRPr="00887671" w:rsidRDefault="00A9638C" w:rsidP="00A963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i/>
                <w:color w:val="FF0000"/>
                <w:szCs w:val="22"/>
                <w:lang w:val="en-US"/>
              </w:rPr>
            </w:pPr>
            <w:r w:rsidRPr="00887671">
              <w:rPr>
                <w:rFonts w:ascii="Calibri" w:hAnsi="Calibri" w:cs="Times New Roman"/>
                <w:i/>
                <w:color w:val="FF0000"/>
                <w:szCs w:val="22"/>
                <w:lang w:val="en-US"/>
              </w:rPr>
              <w:t>“What would it take to have an honest design that recognizes corruption as a significant issue and a major influencing factor? This requires serious critique of our current practices and significant adjustment at all levels”</w:t>
            </w:r>
          </w:p>
          <w:p w:rsidR="00A9638C" w:rsidRPr="00A9638C" w:rsidRDefault="00A9638C" w:rsidP="00887671">
            <w:pPr>
              <w:ind w:right="-574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887671" w:rsidRDefault="00887671" w:rsidP="00A9638C">
            <w:pPr>
              <w:ind w:right="-108"/>
              <w:rPr>
                <w:rFonts w:asciiTheme="majorHAnsi" w:hAnsiTheme="majorHAnsi"/>
              </w:rPr>
            </w:pPr>
          </w:p>
          <w:p w:rsidR="00A9638C" w:rsidRDefault="00A453BD" w:rsidP="00A453BD">
            <w:pPr>
              <w:ind w:right="-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Having the c</w:t>
            </w:r>
            <w:r w:rsidR="00A9638C">
              <w:rPr>
                <w:rFonts w:asciiTheme="majorHAnsi" w:hAnsiTheme="majorHAnsi"/>
              </w:rPr>
              <w:t xml:space="preserve">ourage </w:t>
            </w:r>
          </w:p>
          <w:p w:rsidR="00A9638C" w:rsidRDefault="00A453BD" w:rsidP="00A9638C">
            <w:pPr>
              <w:ind w:right="-108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to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r w:rsidR="00A9638C">
              <w:rPr>
                <w:rFonts w:asciiTheme="majorHAnsi" w:hAnsiTheme="majorHAnsi"/>
              </w:rPr>
              <w:t>be honest</w:t>
            </w:r>
          </w:p>
        </w:tc>
        <w:tc>
          <w:tcPr>
            <w:tcW w:w="1843" w:type="dxa"/>
          </w:tcPr>
          <w:p w:rsidR="00887671" w:rsidRDefault="00887671" w:rsidP="00887671">
            <w:pPr>
              <w:ind w:right="-574"/>
              <w:jc w:val="left"/>
              <w:rPr>
                <w:rFonts w:asciiTheme="majorHAnsi" w:hAnsiTheme="majorHAnsi"/>
              </w:rPr>
            </w:pPr>
          </w:p>
        </w:tc>
      </w:tr>
      <w:tr w:rsidR="00A9638C" w:rsidTr="00A453BD">
        <w:tc>
          <w:tcPr>
            <w:tcW w:w="6346" w:type="dxa"/>
          </w:tcPr>
          <w:p w:rsidR="00887671" w:rsidRPr="00A9638C" w:rsidRDefault="00887671" w:rsidP="00887671">
            <w:pPr>
              <w:ind w:right="-574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:rsidR="00A9638C" w:rsidRPr="00887671" w:rsidRDefault="00A9638C" w:rsidP="00A963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i/>
                <w:color w:val="FF0000"/>
                <w:szCs w:val="22"/>
                <w:lang w:val="en-US"/>
              </w:rPr>
            </w:pPr>
            <w:r w:rsidRPr="00887671">
              <w:rPr>
                <w:rFonts w:ascii="Calibri" w:hAnsi="Calibri" w:cs="Times New Roman"/>
                <w:i/>
                <w:color w:val="FF0000"/>
                <w:szCs w:val="22"/>
                <w:lang w:val="en-US"/>
              </w:rPr>
              <w:t>“My hope is that by being constructively disruptive we can bring about serious change at a local level rather than just imposing a centrally controlled agenda”</w:t>
            </w:r>
          </w:p>
          <w:p w:rsidR="00A9638C" w:rsidRDefault="00A9638C" w:rsidP="00887671">
            <w:pPr>
              <w:ind w:right="-574"/>
              <w:jc w:val="left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887671" w:rsidRDefault="00887671" w:rsidP="00A9638C">
            <w:pPr>
              <w:ind w:right="34"/>
              <w:rPr>
                <w:rFonts w:asciiTheme="majorHAnsi" w:hAnsiTheme="majorHAnsi"/>
              </w:rPr>
            </w:pPr>
          </w:p>
          <w:p w:rsidR="00A9638C" w:rsidRDefault="00A9638C" w:rsidP="00A9638C">
            <w:pPr>
              <w:ind w:right="3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Challenging when necessary</w:t>
            </w:r>
          </w:p>
        </w:tc>
        <w:tc>
          <w:tcPr>
            <w:tcW w:w="1843" w:type="dxa"/>
          </w:tcPr>
          <w:p w:rsidR="00887671" w:rsidRDefault="00887671" w:rsidP="00887671">
            <w:pPr>
              <w:ind w:right="-574"/>
              <w:jc w:val="left"/>
              <w:rPr>
                <w:rFonts w:asciiTheme="majorHAnsi" w:hAnsiTheme="majorHAnsi"/>
              </w:rPr>
            </w:pPr>
          </w:p>
        </w:tc>
      </w:tr>
      <w:tr w:rsidR="00A9638C" w:rsidTr="00A453BD">
        <w:tc>
          <w:tcPr>
            <w:tcW w:w="6346" w:type="dxa"/>
          </w:tcPr>
          <w:p w:rsidR="00A9638C" w:rsidRPr="00A9638C" w:rsidRDefault="00A9638C" w:rsidP="00A963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  <w:i/>
                <w:color w:val="FF0000"/>
                <w:sz w:val="16"/>
                <w:szCs w:val="16"/>
                <w:lang w:val="en-US"/>
              </w:rPr>
            </w:pPr>
          </w:p>
          <w:p w:rsidR="00A9638C" w:rsidRDefault="00A9638C" w:rsidP="00A963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i/>
                <w:color w:val="FF0000"/>
                <w:szCs w:val="22"/>
                <w:lang w:val="en-US"/>
              </w:rPr>
            </w:pPr>
            <w:r w:rsidRPr="00887671">
              <w:rPr>
                <w:rFonts w:ascii="Calibri" w:hAnsi="Calibri" w:cs="Times New Roman"/>
                <w:i/>
                <w:color w:val="FF0000"/>
                <w:szCs w:val="22"/>
                <w:lang w:val="en-US"/>
              </w:rPr>
              <w:t>“Being really open to a different future may bring up new / unexplored / unexpected opportunities just because we have done things differently”</w:t>
            </w:r>
          </w:p>
          <w:p w:rsidR="00A9638C" w:rsidRPr="00A9638C" w:rsidRDefault="00A9638C" w:rsidP="00887671">
            <w:pPr>
              <w:ind w:right="-574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887671" w:rsidRPr="00A453BD" w:rsidRDefault="00887671" w:rsidP="00A453B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A453BD" w:rsidRDefault="00A453BD" w:rsidP="00A453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Being open to discovering what you don't yet know</w:t>
            </w:r>
          </w:p>
        </w:tc>
        <w:tc>
          <w:tcPr>
            <w:tcW w:w="1843" w:type="dxa"/>
          </w:tcPr>
          <w:p w:rsidR="00887671" w:rsidRDefault="00887671" w:rsidP="00887671">
            <w:pPr>
              <w:ind w:right="-574"/>
              <w:jc w:val="left"/>
              <w:rPr>
                <w:rFonts w:asciiTheme="majorHAnsi" w:hAnsiTheme="majorHAnsi"/>
              </w:rPr>
            </w:pPr>
          </w:p>
        </w:tc>
      </w:tr>
    </w:tbl>
    <w:p w:rsidR="00887671" w:rsidRDefault="00887671" w:rsidP="00A9638C">
      <w:pPr>
        <w:jc w:val="both"/>
        <w:rPr>
          <w:rFonts w:ascii="Calibri" w:hAnsi="Calibri"/>
          <w:i/>
          <w:color w:val="FF0000"/>
        </w:rPr>
      </w:pPr>
    </w:p>
    <w:p w:rsidR="00887671" w:rsidRPr="00887671" w:rsidRDefault="00887671" w:rsidP="00887671">
      <w:pPr>
        <w:jc w:val="both"/>
        <w:rPr>
          <w:rFonts w:ascii="Calibri" w:hAnsi="Calibri"/>
          <w:i/>
          <w:color w:val="FF0000"/>
        </w:rPr>
      </w:pPr>
    </w:p>
    <w:p w:rsidR="00732C4E" w:rsidRPr="00887671" w:rsidRDefault="00732C4E" w:rsidP="00887671">
      <w:pPr>
        <w:ind w:right="-574"/>
        <w:jc w:val="left"/>
        <w:rPr>
          <w:rFonts w:asciiTheme="majorHAnsi" w:hAnsiTheme="majorHAnsi"/>
          <w:color w:val="FF0000"/>
        </w:rPr>
      </w:pPr>
    </w:p>
    <w:sectPr w:rsidR="00732C4E" w:rsidRPr="00887671" w:rsidSect="00A9638C">
      <w:pgSz w:w="12240" w:h="15840"/>
      <w:pgMar w:top="851" w:right="1797" w:bottom="851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4E"/>
    <w:rsid w:val="000A0CE7"/>
    <w:rsid w:val="00402915"/>
    <w:rsid w:val="00706313"/>
    <w:rsid w:val="00732C4E"/>
    <w:rsid w:val="00887671"/>
    <w:rsid w:val="00A453BD"/>
    <w:rsid w:val="00A9638C"/>
    <w:rsid w:val="00AF409F"/>
    <w:rsid w:val="00CD064A"/>
    <w:rsid w:val="00CF6CA1"/>
    <w:rsid w:val="00D16C82"/>
    <w:rsid w:val="00EE24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C4E"/>
    <w:pPr>
      <w:jc w:val="center"/>
    </w:pPr>
    <w:rPr>
      <w:rFonts w:ascii="Arial" w:hAnsi="Arial"/>
      <w:color w:val="333333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Intro">
    <w:name w:val="Copy Intro"/>
    <w:basedOn w:val="Normal"/>
    <w:autoRedefine/>
    <w:rsid w:val="000A0CE7"/>
    <w:rPr>
      <w:b/>
    </w:rPr>
  </w:style>
  <w:style w:type="paragraph" w:customStyle="1" w:styleId="IBLFBodyCopy">
    <w:name w:val="IBLF Body Copy"/>
    <w:basedOn w:val="Normal"/>
    <w:rsid w:val="000A0CE7"/>
  </w:style>
  <w:style w:type="paragraph" w:customStyle="1" w:styleId="IBLFBodyIntro">
    <w:name w:val="IBLF Body Intro"/>
    <w:basedOn w:val="Normal"/>
    <w:autoRedefine/>
    <w:rsid w:val="000A0CE7"/>
    <w:rPr>
      <w:b/>
    </w:rPr>
  </w:style>
  <w:style w:type="paragraph" w:customStyle="1" w:styleId="IBLFPrimaryHeading">
    <w:name w:val="IBLF Primary Heading"/>
    <w:basedOn w:val="Normal"/>
    <w:autoRedefine/>
    <w:rsid w:val="000A0CE7"/>
    <w:rPr>
      <w:rFonts w:ascii="Verdana" w:hAnsi="Verdana"/>
      <w:b/>
      <w:caps/>
      <w:sz w:val="40"/>
    </w:rPr>
  </w:style>
  <w:style w:type="paragraph" w:customStyle="1" w:styleId="IBLFSecondaryHeading">
    <w:name w:val="IBLF Secondary Heading"/>
    <w:basedOn w:val="IBLFPrimaryHeading"/>
    <w:rsid w:val="000A0CE7"/>
    <w:rPr>
      <w:caps w:val="0"/>
      <w:sz w:val="32"/>
    </w:rPr>
  </w:style>
  <w:style w:type="paragraph" w:customStyle="1" w:styleId="PrimaryHeading">
    <w:name w:val="Primary Heading"/>
    <w:basedOn w:val="Normal"/>
    <w:autoRedefine/>
    <w:rsid w:val="000A0CE7"/>
    <w:rPr>
      <w:b/>
      <w:cap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C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4E"/>
    <w:rPr>
      <w:rFonts w:ascii="Lucida Grande" w:hAnsi="Lucida Grande" w:cs="Lucida Grande"/>
      <w:color w:val="333333"/>
      <w:sz w:val="18"/>
      <w:szCs w:val="18"/>
    </w:rPr>
  </w:style>
  <w:style w:type="table" w:styleId="TableGrid">
    <w:name w:val="Table Grid"/>
    <w:basedOn w:val="TableNormal"/>
    <w:uiPriority w:val="59"/>
    <w:rsid w:val="00887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C4E"/>
    <w:pPr>
      <w:jc w:val="center"/>
    </w:pPr>
    <w:rPr>
      <w:rFonts w:ascii="Arial" w:hAnsi="Arial"/>
      <w:color w:val="333333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Intro">
    <w:name w:val="Copy Intro"/>
    <w:basedOn w:val="Normal"/>
    <w:autoRedefine/>
    <w:rsid w:val="000A0CE7"/>
    <w:rPr>
      <w:b/>
    </w:rPr>
  </w:style>
  <w:style w:type="paragraph" w:customStyle="1" w:styleId="IBLFBodyCopy">
    <w:name w:val="IBLF Body Copy"/>
    <w:basedOn w:val="Normal"/>
    <w:rsid w:val="000A0CE7"/>
  </w:style>
  <w:style w:type="paragraph" w:customStyle="1" w:styleId="IBLFBodyIntro">
    <w:name w:val="IBLF Body Intro"/>
    <w:basedOn w:val="Normal"/>
    <w:autoRedefine/>
    <w:rsid w:val="000A0CE7"/>
    <w:rPr>
      <w:b/>
    </w:rPr>
  </w:style>
  <w:style w:type="paragraph" w:customStyle="1" w:styleId="IBLFPrimaryHeading">
    <w:name w:val="IBLF Primary Heading"/>
    <w:basedOn w:val="Normal"/>
    <w:autoRedefine/>
    <w:rsid w:val="000A0CE7"/>
    <w:rPr>
      <w:rFonts w:ascii="Verdana" w:hAnsi="Verdana"/>
      <w:b/>
      <w:caps/>
      <w:sz w:val="40"/>
    </w:rPr>
  </w:style>
  <w:style w:type="paragraph" w:customStyle="1" w:styleId="IBLFSecondaryHeading">
    <w:name w:val="IBLF Secondary Heading"/>
    <w:basedOn w:val="IBLFPrimaryHeading"/>
    <w:rsid w:val="000A0CE7"/>
    <w:rPr>
      <w:caps w:val="0"/>
      <w:sz w:val="32"/>
    </w:rPr>
  </w:style>
  <w:style w:type="paragraph" w:customStyle="1" w:styleId="PrimaryHeading">
    <w:name w:val="Primary Heading"/>
    <w:basedOn w:val="Normal"/>
    <w:autoRedefine/>
    <w:rsid w:val="000A0CE7"/>
    <w:rPr>
      <w:b/>
      <w:cap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C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4E"/>
    <w:rPr>
      <w:rFonts w:ascii="Lucida Grande" w:hAnsi="Lucida Grande" w:cs="Lucida Grande"/>
      <w:color w:val="333333"/>
      <w:sz w:val="18"/>
      <w:szCs w:val="18"/>
    </w:rPr>
  </w:style>
  <w:style w:type="table" w:styleId="TableGrid">
    <w:name w:val="Table Grid"/>
    <w:basedOn w:val="TableNormal"/>
    <w:uiPriority w:val="59"/>
    <w:rsid w:val="00887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Macintosh Word</Application>
  <DocSecurity>0</DocSecurity>
  <Lines>14</Lines>
  <Paragraphs>3</Paragraphs>
  <ScaleCrop>false</ScaleCrop>
  <Company>IBLF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2</cp:revision>
  <cp:lastPrinted>2017-08-14T08:08:00Z</cp:lastPrinted>
  <dcterms:created xsi:type="dcterms:W3CDTF">2017-08-14T08:08:00Z</dcterms:created>
  <dcterms:modified xsi:type="dcterms:W3CDTF">2017-08-14T08:08:00Z</dcterms:modified>
</cp:coreProperties>
</file>